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875" w:type="dxa"/>
        <w:tblCellSpacing w:w="0" w:type="dxa"/>
        <w:shd w:val="clear" w:color="auto" w:fill="FFFFFF"/>
        <w:tblCellMar>
          <w:left w:w="0" w:type="dxa"/>
          <w:right w:w="0" w:type="dxa"/>
        </w:tblCellMar>
        <w:tblLook w:val="04A0" w:firstRow="1" w:lastRow="0" w:firstColumn="1" w:lastColumn="0" w:noHBand="0" w:noVBand="1"/>
      </w:tblPr>
      <w:tblGrid>
        <w:gridCol w:w="8475"/>
      </w:tblGrid>
      <w:tr w:rsidR="00240469" w:rsidRPr="00240469" w:rsidTr="00240469">
        <w:trPr>
          <w:tblCellSpacing w:w="0" w:type="dxa"/>
        </w:trPr>
        <w:tc>
          <w:tcPr>
            <w:tcW w:w="0" w:type="auto"/>
            <w:shd w:val="clear" w:color="auto" w:fill="FFFFFF"/>
            <w:tcMar>
              <w:top w:w="375" w:type="dxa"/>
              <w:left w:w="300" w:type="dxa"/>
              <w:bottom w:w="300" w:type="dxa"/>
              <w:right w:w="300" w:type="dxa"/>
            </w:tcMar>
            <w:vAlign w:val="center"/>
            <w:hideMark/>
          </w:tcPr>
          <w:tbl>
            <w:tblPr>
              <w:tblW w:w="7875" w:type="dxa"/>
              <w:tblCellSpacing w:w="0" w:type="dxa"/>
              <w:shd w:val="clear" w:color="auto" w:fill="FFFFFF"/>
              <w:tblCellMar>
                <w:left w:w="0" w:type="dxa"/>
                <w:right w:w="0" w:type="dxa"/>
              </w:tblCellMar>
              <w:tblLook w:val="04A0" w:firstRow="1" w:lastRow="0" w:firstColumn="1" w:lastColumn="0" w:noHBand="0" w:noVBand="1"/>
            </w:tblPr>
            <w:tblGrid>
              <w:gridCol w:w="7875"/>
            </w:tblGrid>
            <w:tr w:rsidR="005E474D" w:rsidTr="005E474D">
              <w:trPr>
                <w:tblCellSpacing w:w="0" w:type="dxa"/>
              </w:trPr>
              <w:tc>
                <w:tcPr>
                  <w:tcW w:w="0" w:type="auto"/>
                  <w:shd w:val="clear" w:color="auto" w:fill="FFFFFF"/>
                  <w:tcMar>
                    <w:top w:w="375" w:type="dxa"/>
                    <w:left w:w="300" w:type="dxa"/>
                    <w:bottom w:w="300" w:type="dxa"/>
                    <w:right w:w="300" w:type="dxa"/>
                  </w:tcMar>
                  <w:vAlign w:val="center"/>
                  <w:hideMark/>
                </w:tcPr>
                <w:tbl>
                  <w:tblPr>
                    <w:tblW w:w="7275" w:type="dxa"/>
                    <w:tblCellSpacing w:w="0" w:type="dxa"/>
                    <w:tblCellMar>
                      <w:left w:w="0" w:type="dxa"/>
                      <w:right w:w="0" w:type="dxa"/>
                    </w:tblCellMar>
                    <w:tblLook w:val="04A0" w:firstRow="1" w:lastRow="0" w:firstColumn="1" w:lastColumn="0" w:noHBand="0" w:noVBand="1"/>
                  </w:tblPr>
                  <w:tblGrid>
                    <w:gridCol w:w="7275"/>
                  </w:tblGrid>
                  <w:tr w:rsidR="005E474D">
                    <w:trPr>
                      <w:tblCellSpacing w:w="0" w:type="dxa"/>
                    </w:trPr>
                    <w:tc>
                      <w:tcPr>
                        <w:tcW w:w="0" w:type="auto"/>
                        <w:vAlign w:val="center"/>
                        <w:hideMark/>
                      </w:tcPr>
                      <w:p w:rsidR="005E474D" w:rsidRDefault="005E474D">
                        <w:pPr>
                          <w:jc w:val="right"/>
                          <w:rPr>
                            <w:rFonts w:ascii="Arial" w:hAnsi="Arial" w:cs="Arial"/>
                            <w:color w:val="ACABAB"/>
                            <w:sz w:val="27"/>
                            <w:szCs w:val="27"/>
                          </w:rPr>
                        </w:pPr>
                        <w:bookmarkStart w:id="0" w:name="_GoBack"/>
                        <w:bookmarkEnd w:id="0"/>
                        <w:r>
                          <w:rPr>
                            <w:rFonts w:ascii="Arial" w:hAnsi="Arial" w:cs="Arial"/>
                            <w:color w:val="ACABAB"/>
                            <w:sz w:val="27"/>
                            <w:szCs w:val="27"/>
                          </w:rPr>
                          <w:t>17 de noviembre de 2014</w:t>
                        </w:r>
                      </w:p>
                    </w:tc>
                  </w:tr>
                </w:tbl>
                <w:p w:rsidR="005E474D" w:rsidRDefault="005E474D">
                  <w:pPr>
                    <w:rPr>
                      <w:sz w:val="24"/>
                      <w:szCs w:val="24"/>
                    </w:rPr>
                  </w:pPr>
                </w:p>
              </w:tc>
            </w:tr>
            <w:tr w:rsidR="005E474D" w:rsidTr="005E474D">
              <w:trPr>
                <w:tblCellSpacing w:w="0" w:type="dxa"/>
              </w:trPr>
              <w:tc>
                <w:tcPr>
                  <w:tcW w:w="0" w:type="auto"/>
                  <w:shd w:val="clear" w:color="auto" w:fill="FFFFFF"/>
                  <w:vAlign w:val="center"/>
                  <w:hideMark/>
                </w:tcPr>
                <w:p w:rsidR="005E474D" w:rsidRDefault="005E474D">
                  <w:pPr>
                    <w:shd w:val="clear" w:color="auto" w:fill="424242"/>
                    <w:rPr>
                      <w:sz w:val="24"/>
                      <w:szCs w:val="24"/>
                    </w:rPr>
                  </w:pPr>
                </w:p>
              </w:tc>
            </w:tr>
            <w:tr w:rsidR="005E474D" w:rsidTr="005E474D">
              <w:trPr>
                <w:tblCellSpacing w:w="0" w:type="dxa"/>
              </w:trPr>
              <w:tc>
                <w:tcPr>
                  <w:tcW w:w="0" w:type="auto"/>
                  <w:shd w:val="clear" w:color="auto" w:fill="FFFFFF"/>
                  <w:tcMar>
                    <w:top w:w="450" w:type="dxa"/>
                    <w:left w:w="300" w:type="dxa"/>
                    <w:bottom w:w="0" w:type="dxa"/>
                    <w:right w:w="300" w:type="dxa"/>
                  </w:tcMar>
                  <w:vAlign w:val="center"/>
                  <w:hideMark/>
                </w:tcPr>
                <w:p w:rsidR="005E474D" w:rsidRDefault="005E474D">
                  <w:pPr>
                    <w:spacing w:before="100" w:beforeAutospacing="1" w:after="100" w:afterAutospacing="1" w:line="300" w:lineRule="atLeast"/>
                    <w:rPr>
                      <w:rFonts w:ascii="Times New Roman" w:hAnsi="Times New Roman" w:cs="Times New Roman"/>
                      <w:color w:val="333333"/>
                      <w:sz w:val="24"/>
                      <w:szCs w:val="24"/>
                    </w:rPr>
                  </w:pPr>
                  <w:r>
                    <w:rPr>
                      <w:rFonts w:ascii="Verdana" w:hAnsi="Verdana"/>
                      <w:color w:val="333333"/>
                      <w:sz w:val="15"/>
                      <w:szCs w:val="15"/>
                    </w:rPr>
                    <w:t>Informamos a nuestros compañeros que luego de meses de trabajo, verificando los errores en las liquidaciones y manteniendo numerosas reuniones con la empresa en pos de solucionar los inconvenientes detectados, no encontramos que la misma de una solución de fondo al problema. Por este motivo, esta Comisión Directiva y cuerpo de delegados insta y exige a la empresa Aerolíneas Argentinas/Austral a realizar las adecuaciones necesarias a fin de corregir estas desviaciones.</w:t>
                  </w:r>
                </w:p>
                <w:p w:rsidR="005E474D" w:rsidRDefault="005E474D">
                  <w:pPr>
                    <w:spacing w:before="100" w:beforeAutospacing="1" w:after="100" w:afterAutospacing="1" w:line="300" w:lineRule="atLeast"/>
                    <w:rPr>
                      <w:color w:val="333333"/>
                    </w:rPr>
                  </w:pPr>
                  <w:r>
                    <w:rPr>
                      <w:rFonts w:ascii="Verdana" w:hAnsi="Verdana"/>
                      <w:color w:val="333333"/>
                      <w:sz w:val="15"/>
                      <w:szCs w:val="15"/>
                    </w:rPr>
                    <w:t>De no suceder lo esperado, tomaremos las medidas de fuerza que creamos convenientes. Como representantes de los tripulantes de cabina de Aerolíneas y Austral, nos reservamos el derecho a accionar de manera directa para defender los derechos de todos ustedes.</w:t>
                  </w:r>
                </w:p>
                <w:p w:rsidR="005E474D" w:rsidRDefault="005E474D">
                  <w:pPr>
                    <w:spacing w:before="100" w:beforeAutospacing="1" w:after="100" w:afterAutospacing="1" w:line="300" w:lineRule="atLeast"/>
                    <w:rPr>
                      <w:color w:val="333333"/>
                    </w:rPr>
                  </w:pPr>
                  <w:r>
                    <w:rPr>
                      <w:rFonts w:ascii="Verdana" w:hAnsi="Verdana"/>
                      <w:color w:val="333333"/>
                      <w:sz w:val="15"/>
                      <w:szCs w:val="15"/>
                    </w:rPr>
                    <w:t>Los mantendremos informados,</w:t>
                  </w:r>
                </w:p>
                <w:p w:rsidR="005E474D" w:rsidRDefault="005E474D">
                  <w:pPr>
                    <w:spacing w:before="100" w:beforeAutospacing="1" w:after="100" w:afterAutospacing="1" w:line="300" w:lineRule="atLeast"/>
                    <w:rPr>
                      <w:color w:val="333333"/>
                      <w:sz w:val="24"/>
                      <w:szCs w:val="24"/>
                    </w:rPr>
                  </w:pPr>
                  <w:r>
                    <w:rPr>
                      <w:rFonts w:ascii="Verdana" w:hAnsi="Verdana"/>
                      <w:color w:val="333333"/>
                      <w:sz w:val="15"/>
                      <w:szCs w:val="15"/>
                    </w:rPr>
                    <w:br/>
                  </w:r>
                </w:p>
              </w:tc>
            </w:tr>
            <w:tr w:rsidR="005E474D" w:rsidTr="005E474D">
              <w:trPr>
                <w:tblCellSpacing w:w="0" w:type="dxa"/>
              </w:trPr>
              <w:tc>
                <w:tcPr>
                  <w:tcW w:w="0" w:type="auto"/>
                  <w:tcBorders>
                    <w:top w:val="single" w:sz="6" w:space="0" w:color="D6D6D6"/>
                  </w:tcBorders>
                  <w:shd w:val="clear" w:color="auto" w:fill="F6F6F6"/>
                  <w:tcMar>
                    <w:top w:w="225" w:type="dxa"/>
                    <w:left w:w="300" w:type="dxa"/>
                    <w:bottom w:w="225" w:type="dxa"/>
                    <w:right w:w="0" w:type="dxa"/>
                  </w:tcMar>
                  <w:vAlign w:val="center"/>
                  <w:hideMark/>
                </w:tcPr>
                <w:p w:rsidR="005E474D" w:rsidRDefault="005E474D">
                  <w:pPr>
                    <w:spacing w:before="100" w:beforeAutospacing="1" w:after="100" w:afterAutospacing="1" w:line="255" w:lineRule="atLeast"/>
                    <w:rPr>
                      <w:color w:val="666666"/>
                      <w:sz w:val="24"/>
                      <w:szCs w:val="24"/>
                    </w:rPr>
                  </w:pPr>
                  <w:r>
                    <w:rPr>
                      <w:rFonts w:ascii="Verdana" w:hAnsi="Verdana"/>
                      <w:b/>
                      <w:bCs/>
                      <w:color w:val="333333"/>
                      <w:sz w:val="15"/>
                      <w:szCs w:val="15"/>
                      <w:shd w:val="clear" w:color="auto" w:fill="FFFFFF"/>
                    </w:rPr>
                    <w:t>COMISIÓN DIRECTIVA DE AERONAVEGANTES </w:t>
                  </w:r>
                </w:p>
              </w:tc>
            </w:tr>
            <w:tr w:rsidR="00240469" w:rsidRPr="00240469">
              <w:tblPrEx>
                <w:shd w:val="clear" w:color="auto" w:fill="auto"/>
              </w:tblPrEx>
              <w:trPr>
                <w:tblCellSpacing w:w="0" w:type="dxa"/>
              </w:trPr>
              <w:tc>
                <w:tcPr>
                  <w:tcW w:w="0" w:type="auto"/>
                  <w:vAlign w:val="center"/>
                  <w:hideMark/>
                </w:tcPr>
                <w:p w:rsidR="00240469" w:rsidRPr="00240469" w:rsidRDefault="00240469" w:rsidP="00240469">
                  <w:pPr>
                    <w:spacing w:after="0" w:line="240" w:lineRule="auto"/>
                    <w:jc w:val="right"/>
                    <w:rPr>
                      <w:rFonts w:ascii="Arial" w:eastAsia="Times New Roman" w:hAnsi="Arial" w:cs="Arial"/>
                      <w:color w:val="ACABAB"/>
                      <w:sz w:val="24"/>
                      <w:szCs w:val="24"/>
                      <w:lang w:eastAsia="es-ES"/>
                    </w:rPr>
                  </w:pPr>
                  <w:r w:rsidRPr="00240469">
                    <w:rPr>
                      <w:rFonts w:ascii="Arial" w:eastAsia="Times New Roman" w:hAnsi="Arial" w:cs="Arial"/>
                      <w:color w:val="ACABAB"/>
                      <w:sz w:val="24"/>
                      <w:szCs w:val="24"/>
                      <w:lang w:eastAsia="es-ES"/>
                    </w:rPr>
                    <w:t>25 DE NOVIEMBRE, 2014</w:t>
                  </w:r>
                </w:p>
              </w:tc>
            </w:tr>
          </w:tbl>
          <w:p w:rsidR="00240469" w:rsidRPr="00240469" w:rsidRDefault="00240469" w:rsidP="00240469">
            <w:pPr>
              <w:spacing w:after="0" w:line="240" w:lineRule="auto"/>
              <w:rPr>
                <w:rFonts w:ascii="Arial" w:eastAsia="Times New Roman" w:hAnsi="Arial" w:cs="Arial"/>
                <w:color w:val="222222"/>
                <w:sz w:val="19"/>
                <w:szCs w:val="19"/>
                <w:lang w:eastAsia="es-ES"/>
              </w:rPr>
            </w:pPr>
          </w:p>
        </w:tc>
      </w:tr>
      <w:tr w:rsidR="00240469" w:rsidRPr="00240469" w:rsidTr="00240469">
        <w:trPr>
          <w:tblCellSpacing w:w="0" w:type="dxa"/>
        </w:trPr>
        <w:tc>
          <w:tcPr>
            <w:tcW w:w="0" w:type="auto"/>
            <w:shd w:val="clear" w:color="auto" w:fill="FFFFFF"/>
            <w:vAlign w:val="center"/>
            <w:hideMark/>
          </w:tcPr>
          <w:p w:rsidR="00240469" w:rsidRPr="00240469" w:rsidRDefault="00240469" w:rsidP="00240469">
            <w:pPr>
              <w:shd w:val="clear" w:color="auto" w:fill="424242"/>
              <w:spacing w:after="0" w:line="240" w:lineRule="auto"/>
              <w:rPr>
                <w:rFonts w:ascii="Arial" w:eastAsia="Times New Roman" w:hAnsi="Arial" w:cs="Arial"/>
                <w:color w:val="222222"/>
                <w:sz w:val="19"/>
                <w:szCs w:val="19"/>
                <w:lang w:eastAsia="es-ES"/>
              </w:rPr>
            </w:pPr>
          </w:p>
        </w:tc>
      </w:tr>
      <w:tr w:rsidR="00240469" w:rsidRPr="00240469" w:rsidTr="00240469">
        <w:trPr>
          <w:tblCellSpacing w:w="0" w:type="dxa"/>
        </w:trPr>
        <w:tc>
          <w:tcPr>
            <w:tcW w:w="0" w:type="auto"/>
            <w:shd w:val="clear" w:color="auto" w:fill="FFFFFF"/>
            <w:tcMar>
              <w:top w:w="450" w:type="dxa"/>
              <w:left w:w="300" w:type="dxa"/>
              <w:bottom w:w="0" w:type="dxa"/>
              <w:right w:w="300" w:type="dxa"/>
            </w:tcMar>
            <w:vAlign w:val="center"/>
            <w:hideMark/>
          </w:tcPr>
          <w:p w:rsidR="00240469" w:rsidRPr="00240469" w:rsidRDefault="00240469" w:rsidP="00240469">
            <w:pPr>
              <w:spacing w:after="0" w:line="240" w:lineRule="auto"/>
              <w:jc w:val="center"/>
              <w:rPr>
                <w:rFonts w:ascii="Arial" w:eastAsia="Times New Roman" w:hAnsi="Arial" w:cs="Arial"/>
                <w:color w:val="000000"/>
                <w:sz w:val="19"/>
                <w:szCs w:val="19"/>
                <w:lang w:eastAsia="es-ES"/>
              </w:rPr>
            </w:pPr>
            <w:r w:rsidRPr="00240469">
              <w:rPr>
                <w:rFonts w:ascii="Arial" w:eastAsia="Times New Roman" w:hAnsi="Arial" w:cs="Arial"/>
                <w:b/>
                <w:bCs/>
                <w:color w:val="000000"/>
                <w:sz w:val="19"/>
                <w:szCs w:val="19"/>
                <w:lang w:eastAsia="es-ES"/>
              </w:rPr>
              <w:t>VIÁTICOS MAL LIQUIDADOS / NOVEDADES</w:t>
            </w:r>
          </w:p>
          <w:p w:rsidR="00240469" w:rsidRPr="00240469" w:rsidRDefault="00240469" w:rsidP="00240469">
            <w:pPr>
              <w:spacing w:after="0" w:line="240" w:lineRule="auto"/>
              <w:rPr>
                <w:rFonts w:ascii="Arial" w:eastAsia="Times New Roman" w:hAnsi="Arial" w:cs="Arial"/>
                <w:color w:val="000000"/>
                <w:sz w:val="19"/>
                <w:szCs w:val="19"/>
                <w:lang w:eastAsia="es-ES"/>
              </w:rPr>
            </w:pPr>
          </w:p>
          <w:p w:rsidR="00240469" w:rsidRPr="00240469" w:rsidRDefault="00240469" w:rsidP="00240469">
            <w:pPr>
              <w:spacing w:after="0" w:line="240" w:lineRule="auto"/>
              <w:rPr>
                <w:rFonts w:ascii="Arial" w:eastAsia="Times New Roman" w:hAnsi="Arial" w:cs="Arial"/>
                <w:color w:val="000000"/>
                <w:sz w:val="19"/>
                <w:szCs w:val="19"/>
                <w:lang w:eastAsia="es-ES"/>
              </w:rPr>
            </w:pPr>
            <w:r w:rsidRPr="00240469">
              <w:rPr>
                <w:rFonts w:ascii="Arial" w:eastAsia="Times New Roman" w:hAnsi="Arial" w:cs="Arial"/>
                <w:color w:val="000000"/>
                <w:sz w:val="19"/>
                <w:szCs w:val="19"/>
                <w:lang w:eastAsia="es-ES"/>
              </w:rPr>
              <w:t>Tal como les informáramos -y saliera publicado en los medios de comunicación-, ante el estancamiento de las reuniones en el ámbito privado, el Ministerio de Trabajo dictó la conciliación obligatoria respecto al conflicto por las diferencias en las liquidaciones de viáticos de numerosos compañeros/as.</w:t>
            </w:r>
          </w:p>
          <w:p w:rsidR="00240469" w:rsidRPr="00240469" w:rsidRDefault="00240469" w:rsidP="00240469">
            <w:pPr>
              <w:spacing w:after="0" w:line="240" w:lineRule="auto"/>
              <w:rPr>
                <w:rFonts w:ascii="Arial" w:eastAsia="Times New Roman" w:hAnsi="Arial" w:cs="Arial"/>
                <w:color w:val="000000"/>
                <w:sz w:val="19"/>
                <w:szCs w:val="19"/>
                <w:lang w:eastAsia="es-ES"/>
              </w:rPr>
            </w:pPr>
            <w:r w:rsidRPr="00240469">
              <w:rPr>
                <w:rFonts w:ascii="Arial" w:eastAsia="Times New Roman" w:hAnsi="Arial" w:cs="Arial"/>
                <w:color w:val="000000"/>
                <w:sz w:val="19"/>
                <w:szCs w:val="19"/>
                <w:lang w:eastAsia="es-ES"/>
              </w:rPr>
              <w:t>En los últimos días, previendo que la situación no haría más que empeorar, la empresa comenzó a tomar medidas concretas tendientes a llegar a una solución. Esto aún no llega a corregir la totalidad de las diferencias, contrario a lo que comunicó en el día de hoy la empresa.</w:t>
            </w:r>
          </w:p>
          <w:p w:rsidR="00240469" w:rsidRPr="00240469" w:rsidRDefault="00240469" w:rsidP="00240469">
            <w:pPr>
              <w:spacing w:after="0" w:line="240" w:lineRule="auto"/>
              <w:rPr>
                <w:rFonts w:ascii="Arial" w:eastAsia="Times New Roman" w:hAnsi="Arial" w:cs="Arial"/>
                <w:color w:val="000000"/>
                <w:sz w:val="19"/>
                <w:szCs w:val="19"/>
                <w:lang w:eastAsia="es-ES"/>
              </w:rPr>
            </w:pPr>
            <w:r w:rsidRPr="00240469">
              <w:rPr>
                <w:rFonts w:ascii="Arial" w:eastAsia="Times New Roman" w:hAnsi="Arial" w:cs="Arial"/>
                <w:color w:val="000000"/>
                <w:sz w:val="19"/>
                <w:szCs w:val="19"/>
                <w:lang w:eastAsia="es-ES"/>
              </w:rPr>
              <w:t>Una de las medidas que consideramos un primer paso, y que nos permite ganar tiempo para continuar trabajando en vistas a que la empresa dé una solución de fondo, es la de incrementar el monto mensual del depósito correspondiente a viáticos para el área de Cabotaje/regional a $5.500.</w:t>
            </w:r>
          </w:p>
          <w:p w:rsidR="00240469" w:rsidRPr="00240469" w:rsidRDefault="00240469" w:rsidP="00240469">
            <w:pPr>
              <w:spacing w:after="0" w:line="240" w:lineRule="auto"/>
              <w:rPr>
                <w:rFonts w:ascii="Arial" w:eastAsia="Times New Roman" w:hAnsi="Arial" w:cs="Arial"/>
                <w:color w:val="000000"/>
                <w:sz w:val="19"/>
                <w:szCs w:val="19"/>
                <w:lang w:eastAsia="es-ES"/>
              </w:rPr>
            </w:pPr>
            <w:r w:rsidRPr="00240469">
              <w:rPr>
                <w:rFonts w:ascii="Arial" w:eastAsia="Times New Roman" w:hAnsi="Arial" w:cs="Arial"/>
                <w:color w:val="000000"/>
                <w:sz w:val="19"/>
                <w:szCs w:val="19"/>
                <w:lang w:eastAsia="es-ES"/>
              </w:rPr>
              <w:t>El sindicato está al tanto de cada uno de los reclamos y cuenta con delegados asignados trabajando concretamente con este problema.</w:t>
            </w:r>
          </w:p>
          <w:p w:rsidR="00240469" w:rsidRPr="00240469" w:rsidRDefault="00240469" w:rsidP="00240469">
            <w:pPr>
              <w:spacing w:after="0" w:line="240" w:lineRule="auto"/>
              <w:rPr>
                <w:rFonts w:ascii="Arial" w:eastAsia="Times New Roman" w:hAnsi="Arial" w:cs="Arial"/>
                <w:color w:val="000000"/>
                <w:sz w:val="19"/>
                <w:szCs w:val="19"/>
                <w:lang w:eastAsia="es-ES"/>
              </w:rPr>
            </w:pPr>
            <w:r w:rsidRPr="00240469">
              <w:rPr>
                <w:rFonts w:ascii="Arial" w:eastAsia="Times New Roman" w:hAnsi="Arial" w:cs="Arial"/>
                <w:color w:val="000000"/>
                <w:sz w:val="19"/>
                <w:szCs w:val="19"/>
                <w:lang w:eastAsia="es-ES"/>
              </w:rPr>
              <w:t>Seguiremos ejerciendo la presión necesaria para ir corrigiendo las cuestiones que creemos aún restan para que este problema quede definitivamente atrás y se cobren los viáticos de manera correcta, tanto en sus montos como en su carácter de anticipo.</w:t>
            </w:r>
          </w:p>
          <w:p w:rsidR="00240469" w:rsidRPr="00240469" w:rsidRDefault="00240469" w:rsidP="00240469">
            <w:pPr>
              <w:spacing w:after="0" w:line="240" w:lineRule="auto"/>
              <w:rPr>
                <w:rFonts w:ascii="Arial" w:eastAsia="Times New Roman" w:hAnsi="Arial" w:cs="Arial"/>
                <w:color w:val="000000"/>
                <w:sz w:val="19"/>
                <w:szCs w:val="19"/>
                <w:lang w:eastAsia="es-ES"/>
              </w:rPr>
            </w:pPr>
            <w:r w:rsidRPr="00240469">
              <w:rPr>
                <w:rFonts w:ascii="Arial" w:eastAsia="Times New Roman" w:hAnsi="Arial" w:cs="Arial"/>
                <w:color w:val="000000"/>
                <w:sz w:val="19"/>
                <w:szCs w:val="19"/>
                <w:lang w:eastAsia="es-ES"/>
              </w:rPr>
              <w:t>Gracias por el apoyo, los mantendremos informados.</w:t>
            </w:r>
          </w:p>
          <w:p w:rsidR="00240469" w:rsidRPr="00240469" w:rsidRDefault="00240469" w:rsidP="00240469">
            <w:pPr>
              <w:spacing w:after="0" w:line="240" w:lineRule="auto"/>
              <w:rPr>
                <w:rFonts w:ascii="Arial" w:eastAsia="Times New Roman" w:hAnsi="Arial" w:cs="Arial"/>
                <w:color w:val="000000"/>
                <w:sz w:val="19"/>
                <w:szCs w:val="19"/>
                <w:lang w:eastAsia="es-ES"/>
              </w:rPr>
            </w:pPr>
          </w:p>
        </w:tc>
      </w:tr>
      <w:tr w:rsidR="00240469" w:rsidRPr="00240469" w:rsidTr="00240469">
        <w:trPr>
          <w:tblCellSpacing w:w="0" w:type="dxa"/>
        </w:trPr>
        <w:tc>
          <w:tcPr>
            <w:tcW w:w="0" w:type="auto"/>
            <w:tcBorders>
              <w:top w:val="single" w:sz="6" w:space="0" w:color="D6D6D6"/>
            </w:tcBorders>
            <w:shd w:val="clear" w:color="auto" w:fill="F6F6F6"/>
            <w:tcMar>
              <w:top w:w="225" w:type="dxa"/>
              <w:left w:w="300" w:type="dxa"/>
              <w:bottom w:w="225" w:type="dxa"/>
              <w:right w:w="0" w:type="dxa"/>
            </w:tcMar>
            <w:vAlign w:val="center"/>
            <w:hideMark/>
          </w:tcPr>
          <w:p w:rsidR="00240469" w:rsidRPr="00240469" w:rsidRDefault="00240469" w:rsidP="00240469">
            <w:pPr>
              <w:spacing w:after="0" w:line="255" w:lineRule="atLeast"/>
              <w:jc w:val="center"/>
              <w:rPr>
                <w:rFonts w:ascii="Arial" w:eastAsia="Times New Roman" w:hAnsi="Arial" w:cs="Arial"/>
                <w:color w:val="666666"/>
                <w:sz w:val="19"/>
                <w:szCs w:val="19"/>
                <w:lang w:eastAsia="es-ES"/>
              </w:rPr>
            </w:pPr>
            <w:r w:rsidRPr="00240469">
              <w:rPr>
                <w:rFonts w:ascii="Arial" w:eastAsia="Times New Roman" w:hAnsi="Arial" w:cs="Arial"/>
                <w:b/>
                <w:bCs/>
                <w:color w:val="000000"/>
                <w:sz w:val="19"/>
                <w:szCs w:val="19"/>
                <w:shd w:val="clear" w:color="auto" w:fill="FFFFFF"/>
                <w:lang w:eastAsia="es-ES"/>
              </w:rPr>
              <w:t>COMISIÓN DIRECTIVA AERONAVEGANTES</w:t>
            </w:r>
          </w:p>
        </w:tc>
      </w:tr>
    </w:tbl>
    <w:p w:rsidR="00163C33" w:rsidRDefault="00163C33"/>
    <w:sectPr w:rsidR="00163C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469"/>
    <w:rsid w:val="00163C33"/>
    <w:rsid w:val="00190B63"/>
    <w:rsid w:val="00240469"/>
    <w:rsid w:val="005E47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40469"/>
  </w:style>
  <w:style w:type="character" w:customStyle="1" w:styleId="il">
    <w:name w:val="il"/>
    <w:basedOn w:val="Fuentedeprrafopredeter"/>
    <w:rsid w:val="002404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40469"/>
  </w:style>
  <w:style w:type="character" w:customStyle="1" w:styleId="il">
    <w:name w:val="il"/>
    <w:basedOn w:val="Fuentedeprrafopredeter"/>
    <w:rsid w:val="00240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074712">
      <w:bodyDiv w:val="1"/>
      <w:marLeft w:val="0"/>
      <w:marRight w:val="0"/>
      <w:marTop w:val="0"/>
      <w:marBottom w:val="0"/>
      <w:divBdr>
        <w:top w:val="none" w:sz="0" w:space="0" w:color="auto"/>
        <w:left w:val="none" w:sz="0" w:space="0" w:color="auto"/>
        <w:bottom w:val="none" w:sz="0" w:space="0" w:color="auto"/>
        <w:right w:val="none" w:sz="0" w:space="0" w:color="auto"/>
      </w:divBdr>
      <w:divsChild>
        <w:div w:id="2089693534">
          <w:marLeft w:val="0"/>
          <w:marRight w:val="0"/>
          <w:marTop w:val="0"/>
          <w:marBottom w:val="0"/>
          <w:divBdr>
            <w:top w:val="single" w:sz="6" w:space="2" w:color="D6D6D6"/>
            <w:left w:val="none" w:sz="0" w:space="0" w:color="auto"/>
            <w:bottom w:val="single" w:sz="6" w:space="2" w:color="D6D6D6"/>
            <w:right w:val="none" w:sz="0" w:space="0" w:color="auto"/>
          </w:divBdr>
          <w:divsChild>
            <w:div w:id="18683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2793">
      <w:bodyDiv w:val="1"/>
      <w:marLeft w:val="0"/>
      <w:marRight w:val="0"/>
      <w:marTop w:val="0"/>
      <w:marBottom w:val="0"/>
      <w:divBdr>
        <w:top w:val="none" w:sz="0" w:space="0" w:color="auto"/>
        <w:left w:val="none" w:sz="0" w:space="0" w:color="auto"/>
        <w:bottom w:val="none" w:sz="0" w:space="0" w:color="auto"/>
        <w:right w:val="none" w:sz="0" w:space="0" w:color="auto"/>
      </w:divBdr>
      <w:divsChild>
        <w:div w:id="1301030929">
          <w:marLeft w:val="0"/>
          <w:marRight w:val="0"/>
          <w:marTop w:val="0"/>
          <w:marBottom w:val="0"/>
          <w:divBdr>
            <w:top w:val="single" w:sz="6" w:space="2" w:color="D6D6D6"/>
            <w:left w:val="none" w:sz="0" w:space="0" w:color="auto"/>
            <w:bottom w:val="single" w:sz="6" w:space="2" w:color="D6D6D6"/>
            <w:right w:val="none" w:sz="0" w:space="0" w:color="auto"/>
          </w:divBdr>
          <w:divsChild>
            <w:div w:id="856162993">
              <w:marLeft w:val="0"/>
              <w:marRight w:val="0"/>
              <w:marTop w:val="0"/>
              <w:marBottom w:val="0"/>
              <w:divBdr>
                <w:top w:val="none" w:sz="0" w:space="0" w:color="auto"/>
                <w:left w:val="none" w:sz="0" w:space="0" w:color="auto"/>
                <w:bottom w:val="none" w:sz="0" w:space="0" w:color="auto"/>
                <w:right w:val="none" w:sz="0" w:space="0" w:color="auto"/>
              </w:divBdr>
            </w:div>
          </w:divsChild>
        </w:div>
        <w:div w:id="566114400">
          <w:marLeft w:val="0"/>
          <w:marRight w:val="0"/>
          <w:marTop w:val="0"/>
          <w:marBottom w:val="0"/>
          <w:divBdr>
            <w:top w:val="none" w:sz="0" w:space="0" w:color="auto"/>
            <w:left w:val="none" w:sz="0" w:space="0" w:color="auto"/>
            <w:bottom w:val="none" w:sz="0" w:space="0" w:color="auto"/>
            <w:right w:val="none" w:sz="0" w:space="0" w:color="auto"/>
          </w:divBdr>
        </w:div>
        <w:div w:id="1348563600">
          <w:marLeft w:val="0"/>
          <w:marRight w:val="0"/>
          <w:marTop w:val="0"/>
          <w:marBottom w:val="0"/>
          <w:divBdr>
            <w:top w:val="none" w:sz="0" w:space="0" w:color="auto"/>
            <w:left w:val="none" w:sz="0" w:space="0" w:color="auto"/>
            <w:bottom w:val="none" w:sz="0" w:space="0" w:color="auto"/>
            <w:right w:val="none" w:sz="0" w:space="0" w:color="auto"/>
          </w:divBdr>
        </w:div>
        <w:div w:id="650407016">
          <w:marLeft w:val="0"/>
          <w:marRight w:val="0"/>
          <w:marTop w:val="0"/>
          <w:marBottom w:val="0"/>
          <w:divBdr>
            <w:top w:val="none" w:sz="0" w:space="0" w:color="auto"/>
            <w:left w:val="none" w:sz="0" w:space="0" w:color="auto"/>
            <w:bottom w:val="none" w:sz="0" w:space="0" w:color="auto"/>
            <w:right w:val="none" w:sz="0" w:space="0" w:color="auto"/>
          </w:divBdr>
        </w:div>
        <w:div w:id="2129230391">
          <w:marLeft w:val="0"/>
          <w:marRight w:val="0"/>
          <w:marTop w:val="0"/>
          <w:marBottom w:val="0"/>
          <w:divBdr>
            <w:top w:val="none" w:sz="0" w:space="0" w:color="auto"/>
            <w:left w:val="none" w:sz="0" w:space="0" w:color="auto"/>
            <w:bottom w:val="none" w:sz="0" w:space="0" w:color="auto"/>
            <w:right w:val="none" w:sz="0" w:space="0" w:color="auto"/>
          </w:divBdr>
        </w:div>
        <w:div w:id="1197549382">
          <w:marLeft w:val="0"/>
          <w:marRight w:val="0"/>
          <w:marTop w:val="0"/>
          <w:marBottom w:val="0"/>
          <w:divBdr>
            <w:top w:val="none" w:sz="0" w:space="0" w:color="auto"/>
            <w:left w:val="none" w:sz="0" w:space="0" w:color="auto"/>
            <w:bottom w:val="none" w:sz="0" w:space="0" w:color="auto"/>
            <w:right w:val="none" w:sz="0" w:space="0" w:color="auto"/>
          </w:divBdr>
        </w:div>
        <w:div w:id="1161962961">
          <w:marLeft w:val="0"/>
          <w:marRight w:val="0"/>
          <w:marTop w:val="0"/>
          <w:marBottom w:val="0"/>
          <w:divBdr>
            <w:top w:val="none" w:sz="0" w:space="0" w:color="auto"/>
            <w:left w:val="none" w:sz="0" w:space="0" w:color="auto"/>
            <w:bottom w:val="none" w:sz="0" w:space="0" w:color="auto"/>
            <w:right w:val="none" w:sz="0" w:space="0" w:color="auto"/>
          </w:divBdr>
        </w:div>
        <w:div w:id="1531408305">
          <w:marLeft w:val="0"/>
          <w:marRight w:val="0"/>
          <w:marTop w:val="0"/>
          <w:marBottom w:val="0"/>
          <w:divBdr>
            <w:top w:val="none" w:sz="0" w:space="0" w:color="auto"/>
            <w:left w:val="none" w:sz="0" w:space="0" w:color="auto"/>
            <w:bottom w:val="none" w:sz="0" w:space="0" w:color="auto"/>
            <w:right w:val="none" w:sz="0" w:space="0" w:color="auto"/>
          </w:divBdr>
        </w:div>
        <w:div w:id="2034258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1886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Comunicacion</dc:creator>
  <cp:lastModifiedBy>Invitado</cp:lastModifiedBy>
  <cp:revision>2</cp:revision>
  <dcterms:created xsi:type="dcterms:W3CDTF">2015-04-14T15:13:00Z</dcterms:created>
  <dcterms:modified xsi:type="dcterms:W3CDTF">2015-04-14T15:13:00Z</dcterms:modified>
</cp:coreProperties>
</file>