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7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5"/>
      </w:tblGrid>
      <w:tr w:rsidR="00CA0AFE" w:rsidRPr="00CA0AFE" w:rsidTr="00CA0AF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375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tbl>
            <w:tblPr>
              <w:tblW w:w="727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75"/>
            </w:tblGrid>
            <w:tr w:rsidR="00CA0AFE" w:rsidRPr="00CA0AF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A0AFE" w:rsidRPr="00CA0AFE" w:rsidRDefault="00CA0AFE" w:rsidP="00CA0AF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ACABAB"/>
                      <w:sz w:val="27"/>
                      <w:szCs w:val="27"/>
                      <w:lang w:eastAsia="es-ES"/>
                    </w:rPr>
                  </w:pPr>
                  <w:r w:rsidRPr="00CA0AFE">
                    <w:rPr>
                      <w:rFonts w:ascii="Tahoma" w:eastAsia="Times New Roman" w:hAnsi="Tahoma" w:cs="Tahoma"/>
                      <w:color w:val="ACABAB"/>
                      <w:sz w:val="27"/>
                      <w:szCs w:val="27"/>
                      <w:lang w:eastAsia="es-ES"/>
                    </w:rPr>
                    <w:t>17 DE NOVIEMBRE, 2014</w:t>
                  </w:r>
                </w:p>
              </w:tc>
            </w:tr>
          </w:tbl>
          <w:p w:rsidR="00CA0AFE" w:rsidRPr="00CA0AFE" w:rsidRDefault="00CA0AFE" w:rsidP="00CA0AF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</w:p>
        </w:tc>
      </w:tr>
      <w:tr w:rsidR="00CA0AFE" w:rsidRPr="00CA0AFE" w:rsidTr="00CA0AF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A0AFE" w:rsidRPr="00CA0AFE" w:rsidRDefault="00CA0AFE" w:rsidP="00CA0AFE">
            <w:pPr>
              <w:shd w:val="clear" w:color="auto" w:fill="424242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</w:p>
        </w:tc>
      </w:tr>
      <w:tr w:rsidR="00CA0AFE" w:rsidRPr="00CA0AFE" w:rsidTr="00CA0AF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:rsidR="00CA0AFE" w:rsidRPr="00CA0AFE" w:rsidRDefault="00CA0AFE" w:rsidP="00CA0AFE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0165AB"/>
                <w:sz w:val="19"/>
                <w:szCs w:val="19"/>
                <w:lang w:eastAsia="es-ES"/>
              </w:rPr>
            </w:pPr>
            <w:r w:rsidRPr="00CA0AFE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9"/>
                <w:szCs w:val="19"/>
                <w:lang w:eastAsia="es-ES"/>
              </w:rPr>
              <w:t>OPCIONES VIGENTES, REACTIVACIÓN Y AVANCES</w:t>
            </w:r>
          </w:p>
          <w:p w:rsidR="00CA0AFE" w:rsidRPr="00CA0AFE" w:rsidRDefault="00CA0AFE" w:rsidP="00CA0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CA0AF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t xml:space="preserve">Transcurridos 15 días desde la suspensión del proceso </w:t>
            </w:r>
            <w:proofErr w:type="spellStart"/>
            <w:r w:rsidRPr="00CA0AF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t>evaluatorio</w:t>
            </w:r>
            <w:proofErr w:type="spellEnd"/>
            <w:r w:rsidRPr="00CA0AF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t xml:space="preserve"> de inglés y habiéndose logrado, como resultado de la exigencia sindical, el reemplazo de la profesional encargada de las entrevistas, informamos a nuestros compañeros y les solicitamos leer atentamente los detalles que expondremos.</w:t>
            </w:r>
          </w:p>
          <w:p w:rsidR="00CA0AFE" w:rsidRPr="00CA0AFE" w:rsidRDefault="00CA0AFE" w:rsidP="00CA0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CA0AF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t> </w:t>
            </w:r>
          </w:p>
          <w:p w:rsidR="00CA0AFE" w:rsidRPr="00CA0AFE" w:rsidRDefault="00CA0AFE" w:rsidP="00CA0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CA0AF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t>Hemos mantenido en este tiempo numerosas y arduas negociaciones entre el equipo gremial y la empresa en busca de conseguir la mejor salida para proteger el interés COLECTIVO. De las mismas, se logró concretar las </w:t>
            </w:r>
            <w:r w:rsidRPr="00CA0AFE">
              <w:rPr>
                <w:rFonts w:ascii="Tahoma" w:eastAsia="Times New Roman" w:hAnsi="Tahoma" w:cs="Tahoma"/>
                <w:color w:val="333333"/>
                <w:sz w:val="19"/>
                <w:szCs w:val="19"/>
                <w:lang w:eastAsia="es-ES"/>
              </w:rPr>
              <w:t>siguientes novedades que detallamos a continuación:</w:t>
            </w:r>
          </w:p>
          <w:p w:rsidR="00CA0AFE" w:rsidRPr="00CA0AFE" w:rsidRDefault="00CA0AFE" w:rsidP="00CA0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CA0AF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t> </w:t>
            </w:r>
          </w:p>
          <w:p w:rsidR="00CA0AFE" w:rsidRPr="00CA0AFE" w:rsidRDefault="00CA0AFE" w:rsidP="00CA0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CA0AFE">
              <w:rPr>
                <w:rFonts w:ascii="Tahoma" w:eastAsia="Times New Roman" w:hAnsi="Tahoma" w:cs="Tahoma"/>
                <w:b/>
                <w:bCs/>
                <w:color w:val="333333"/>
                <w:sz w:val="19"/>
                <w:szCs w:val="19"/>
                <w:lang w:eastAsia="es-ES"/>
              </w:rPr>
              <w:t>OPCIÓN COMISARIO CABOTAJE/REGIONAL: </w:t>
            </w:r>
            <w:r w:rsidRPr="00CA0AFE">
              <w:rPr>
                <w:rFonts w:ascii="Tahoma" w:eastAsia="Times New Roman" w:hAnsi="Tahoma" w:cs="Tahoma"/>
                <w:color w:val="333333"/>
                <w:sz w:val="19"/>
                <w:szCs w:val="19"/>
                <w:lang w:eastAsia="es-ES"/>
              </w:rPr>
              <w:t xml:space="preserve">Se tomarán REPECHAJES para quienes no superaron la instancia de inglés. Los mismos tendrán lugar a partir de FEBRERO de 2015, tiempo en el que esperamos puedan seguir perfeccionando el idioma para superar dicha instancia. La figura de Repechaje no existe en nuestro CCT, y fue considerada a pedido de Aeronavegantes de manera especial para esta ocasión, dado las particularidades que rodean el proceso y con el tiempo suficiente para que quienes están cercanos al nivel requerido puedan aprovechar el </w:t>
            </w:r>
            <w:proofErr w:type="spellStart"/>
            <w:r w:rsidRPr="00CA0AFE">
              <w:rPr>
                <w:rFonts w:ascii="Tahoma" w:eastAsia="Times New Roman" w:hAnsi="Tahoma" w:cs="Tahoma"/>
                <w:color w:val="333333"/>
                <w:sz w:val="19"/>
                <w:szCs w:val="19"/>
                <w:lang w:eastAsia="es-ES"/>
              </w:rPr>
              <w:t>reprechaje</w:t>
            </w:r>
            <w:proofErr w:type="spellEnd"/>
            <w:r w:rsidRPr="00CA0AFE">
              <w:rPr>
                <w:rFonts w:ascii="Tahoma" w:eastAsia="Times New Roman" w:hAnsi="Tahoma" w:cs="Tahoma"/>
                <w:color w:val="333333"/>
                <w:sz w:val="19"/>
                <w:szCs w:val="19"/>
                <w:lang w:eastAsia="es-ES"/>
              </w:rPr>
              <w:t xml:space="preserve"> aprobando la instancia </w:t>
            </w:r>
            <w:proofErr w:type="spellStart"/>
            <w:r w:rsidRPr="00CA0AFE">
              <w:rPr>
                <w:rFonts w:ascii="Tahoma" w:eastAsia="Times New Roman" w:hAnsi="Tahoma" w:cs="Tahoma"/>
                <w:color w:val="333333"/>
                <w:sz w:val="19"/>
                <w:szCs w:val="19"/>
                <w:lang w:eastAsia="es-ES"/>
              </w:rPr>
              <w:t>evaluatoria</w:t>
            </w:r>
            <w:proofErr w:type="spellEnd"/>
            <w:r w:rsidRPr="00CA0AFE">
              <w:rPr>
                <w:rFonts w:ascii="Tahoma" w:eastAsia="Times New Roman" w:hAnsi="Tahoma" w:cs="Tahoma"/>
                <w:color w:val="333333"/>
                <w:sz w:val="19"/>
                <w:szCs w:val="19"/>
                <w:lang w:eastAsia="es-ES"/>
              </w:rPr>
              <w:t>. </w:t>
            </w:r>
          </w:p>
          <w:p w:rsidR="00CA0AFE" w:rsidRPr="00CA0AFE" w:rsidRDefault="00CA0AFE" w:rsidP="00CA0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CA0AFE">
              <w:rPr>
                <w:rFonts w:ascii="Tahoma" w:eastAsia="Times New Roman" w:hAnsi="Tahoma" w:cs="Tahoma"/>
                <w:color w:val="333333"/>
                <w:sz w:val="19"/>
                <w:szCs w:val="19"/>
                <w:lang w:eastAsia="es-ES"/>
              </w:rPr>
              <w:t>Quienes aprobaron en su momento, iniciarán los cursos correspondientes a medida que la programación lo permita y siguiendo las necesidades de dotación.</w:t>
            </w:r>
          </w:p>
          <w:p w:rsidR="00CA0AFE" w:rsidRPr="00CA0AFE" w:rsidRDefault="00CA0AFE" w:rsidP="00CA0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CA0AFE">
              <w:rPr>
                <w:rFonts w:ascii="Tahoma" w:eastAsia="Times New Roman" w:hAnsi="Tahoma" w:cs="Tahoma"/>
                <w:color w:val="333333"/>
                <w:sz w:val="19"/>
                <w:szCs w:val="19"/>
                <w:lang w:eastAsia="es-ES"/>
              </w:rPr>
              <w:t>Todo aquel que no haya aprobado la evaluación de inglés o no apruebe (quedan compañeros por rendir), tendrá su repechaje a partir de febrero. </w:t>
            </w:r>
          </w:p>
          <w:p w:rsidR="00CA0AFE" w:rsidRPr="00CA0AFE" w:rsidRDefault="00CA0AFE" w:rsidP="00CA0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CA0AFE">
              <w:rPr>
                <w:rFonts w:ascii="Tahoma" w:eastAsia="Times New Roman" w:hAnsi="Tahoma" w:cs="Tahoma"/>
                <w:color w:val="333333"/>
                <w:sz w:val="19"/>
                <w:szCs w:val="19"/>
                <w:lang w:eastAsia="es-ES"/>
              </w:rPr>
              <w:t xml:space="preserve">Todo el que apruebe el examen en primera instancia o repechaje, tendrá su vacante y posición </w:t>
            </w:r>
            <w:proofErr w:type="spellStart"/>
            <w:r w:rsidRPr="00CA0AFE">
              <w:rPr>
                <w:rFonts w:ascii="Tahoma" w:eastAsia="Times New Roman" w:hAnsi="Tahoma" w:cs="Tahoma"/>
                <w:color w:val="333333"/>
                <w:sz w:val="19"/>
                <w:szCs w:val="19"/>
                <w:lang w:eastAsia="es-ES"/>
              </w:rPr>
              <w:t>escalafonaria</w:t>
            </w:r>
            <w:proofErr w:type="spellEnd"/>
            <w:r w:rsidRPr="00CA0AFE">
              <w:rPr>
                <w:rFonts w:ascii="Tahoma" w:eastAsia="Times New Roman" w:hAnsi="Tahoma" w:cs="Tahoma"/>
                <w:color w:val="333333"/>
                <w:sz w:val="19"/>
                <w:szCs w:val="19"/>
                <w:lang w:eastAsia="es-ES"/>
              </w:rPr>
              <w:t xml:space="preserve"> original asegurada: el </w:t>
            </w:r>
            <w:proofErr w:type="spellStart"/>
            <w:r w:rsidRPr="00CA0AFE">
              <w:rPr>
                <w:rFonts w:ascii="Tahoma" w:eastAsia="Times New Roman" w:hAnsi="Tahoma" w:cs="Tahoma"/>
                <w:color w:val="333333"/>
                <w:sz w:val="19"/>
                <w:szCs w:val="19"/>
                <w:lang w:eastAsia="es-ES"/>
              </w:rPr>
              <w:t>escalafonamiento</w:t>
            </w:r>
            <w:proofErr w:type="spellEnd"/>
            <w:r w:rsidRPr="00CA0AFE">
              <w:rPr>
                <w:rFonts w:ascii="Tahoma" w:eastAsia="Times New Roman" w:hAnsi="Tahoma" w:cs="Tahoma"/>
                <w:color w:val="333333"/>
                <w:sz w:val="19"/>
                <w:szCs w:val="19"/>
                <w:lang w:eastAsia="es-ES"/>
              </w:rPr>
              <w:t xml:space="preserve"> definitivo se produce al cierre de la opción, que en este caso es Agosto 2015.</w:t>
            </w:r>
          </w:p>
          <w:p w:rsidR="00CA0AFE" w:rsidRPr="00CA0AFE" w:rsidRDefault="00CA0AFE" w:rsidP="00CA0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CA0AF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t> </w:t>
            </w:r>
          </w:p>
          <w:p w:rsidR="00CA0AFE" w:rsidRPr="00CA0AFE" w:rsidRDefault="00CA0AFE" w:rsidP="00CA0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CA0AFE">
              <w:rPr>
                <w:rFonts w:ascii="Tahoma" w:eastAsia="Times New Roman" w:hAnsi="Tahoma" w:cs="Tahoma"/>
                <w:b/>
                <w:bCs/>
                <w:color w:val="333333"/>
                <w:sz w:val="19"/>
                <w:szCs w:val="19"/>
                <w:lang w:eastAsia="es-ES"/>
              </w:rPr>
              <w:t>OPCIÓN COMISARIO ÁREA INTERNACIONAL:</w:t>
            </w:r>
            <w:r w:rsidRPr="00CA0AFE">
              <w:rPr>
                <w:rFonts w:ascii="Tahoma" w:eastAsia="Times New Roman" w:hAnsi="Tahoma" w:cs="Tahoma"/>
                <w:color w:val="333333"/>
                <w:sz w:val="19"/>
                <w:szCs w:val="19"/>
                <w:lang w:eastAsia="es-ES"/>
              </w:rPr>
              <w:t xml:space="preserve"> No obstante las potestades fijadas a favor de la empresa respecto de ascensos y pases de área en nuestro CCT, y basados en nuestra exigencia de adecuar de una vez por todas la dotación general, se retrotrae el proceso </w:t>
            </w:r>
            <w:proofErr w:type="spellStart"/>
            <w:r w:rsidRPr="00CA0AFE">
              <w:rPr>
                <w:rFonts w:ascii="Tahoma" w:eastAsia="Times New Roman" w:hAnsi="Tahoma" w:cs="Tahoma"/>
                <w:color w:val="333333"/>
                <w:sz w:val="19"/>
                <w:szCs w:val="19"/>
                <w:lang w:eastAsia="es-ES"/>
              </w:rPr>
              <w:t>evaluatorio</w:t>
            </w:r>
            <w:proofErr w:type="spellEnd"/>
            <w:r w:rsidRPr="00CA0AFE">
              <w:rPr>
                <w:rFonts w:ascii="Tahoma" w:eastAsia="Times New Roman" w:hAnsi="Tahoma" w:cs="Tahoma"/>
                <w:color w:val="333333"/>
                <w:sz w:val="19"/>
                <w:szCs w:val="19"/>
                <w:lang w:eastAsia="es-ES"/>
              </w:rPr>
              <w:t xml:space="preserve"> de inglés de aquellos compañeros optantes que ya se desempeñan como Comisarios del área Cabotaje/Regional. </w:t>
            </w:r>
          </w:p>
          <w:p w:rsidR="00CA0AFE" w:rsidRPr="00CA0AFE" w:rsidRDefault="00CA0AFE" w:rsidP="00CA0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CA0AFE">
              <w:rPr>
                <w:rFonts w:ascii="Tahoma" w:eastAsia="Times New Roman" w:hAnsi="Tahoma" w:cs="Tahoma"/>
                <w:color w:val="333333"/>
                <w:sz w:val="19"/>
                <w:szCs w:val="19"/>
                <w:lang w:eastAsia="es-ES"/>
              </w:rPr>
              <w:t>Los comisarios de cabotaje regional que optaron para el cargo de comisario internacional y no renunciaron al mismo, pasarán únicamente por la instancia de evaluación de legajo antes de realizar el cambio de área. </w:t>
            </w:r>
          </w:p>
          <w:p w:rsidR="00CA0AFE" w:rsidRPr="00CA0AFE" w:rsidRDefault="00CA0AFE" w:rsidP="00CA0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CA0AFE">
              <w:rPr>
                <w:rFonts w:ascii="Tahoma" w:eastAsia="Times New Roman" w:hAnsi="Tahoma" w:cs="Tahoma"/>
                <w:color w:val="333333"/>
                <w:sz w:val="19"/>
                <w:szCs w:val="19"/>
                <w:lang w:eastAsia="es-ES"/>
              </w:rPr>
              <w:t>Se estima además que son aproximadamente 15 las vacantes que quedarán disponibles para auxiliares antiguos/as del área internacional que optaron al cargo de COMISARIO en dicha área. Pronto se reanudará para ellos las entrevistas que son requisitos del ascenso.</w:t>
            </w:r>
          </w:p>
          <w:p w:rsidR="00CA0AFE" w:rsidRPr="00CA0AFE" w:rsidRDefault="00CA0AFE" w:rsidP="00CA0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CA0AF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t> </w:t>
            </w:r>
          </w:p>
          <w:p w:rsidR="00CA0AFE" w:rsidRPr="00CA0AFE" w:rsidRDefault="00CA0AFE" w:rsidP="00CA0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CA0AFE">
              <w:rPr>
                <w:rFonts w:ascii="Tahoma" w:eastAsia="Times New Roman" w:hAnsi="Tahoma" w:cs="Tahoma"/>
                <w:b/>
                <w:bCs/>
                <w:color w:val="333333"/>
                <w:sz w:val="19"/>
                <w:szCs w:val="19"/>
                <w:lang w:eastAsia="es-ES"/>
              </w:rPr>
              <w:t>PROFESIONAL EVALUADOR:</w:t>
            </w:r>
            <w:r w:rsidRPr="00CA0AFE">
              <w:rPr>
                <w:rFonts w:ascii="Tahoma" w:eastAsia="Times New Roman" w:hAnsi="Tahoma" w:cs="Tahoma"/>
                <w:color w:val="333333"/>
                <w:sz w:val="19"/>
                <w:szCs w:val="19"/>
                <w:lang w:eastAsia="es-ES"/>
              </w:rPr>
              <w:t xml:space="preserve"> Ya fue seleccionada por las autoridades empresarias una nueva profesional para llevar adelante esta tarea. En los próximos días se reanudará la instancia </w:t>
            </w:r>
            <w:proofErr w:type="spellStart"/>
            <w:r w:rsidRPr="00CA0AFE">
              <w:rPr>
                <w:rFonts w:ascii="Tahoma" w:eastAsia="Times New Roman" w:hAnsi="Tahoma" w:cs="Tahoma"/>
                <w:color w:val="333333"/>
                <w:sz w:val="19"/>
                <w:szCs w:val="19"/>
                <w:lang w:eastAsia="es-ES"/>
              </w:rPr>
              <w:t>evaluatoria</w:t>
            </w:r>
            <w:proofErr w:type="spellEnd"/>
            <w:r w:rsidRPr="00CA0AFE">
              <w:rPr>
                <w:rFonts w:ascii="Tahoma" w:eastAsia="Times New Roman" w:hAnsi="Tahoma" w:cs="Tahoma"/>
                <w:color w:val="333333"/>
                <w:sz w:val="19"/>
                <w:szCs w:val="19"/>
                <w:lang w:eastAsia="es-ES"/>
              </w:rPr>
              <w:t xml:space="preserve"> para los auxiliares postulados a Comisarios de ambas áreas.</w:t>
            </w:r>
          </w:p>
          <w:p w:rsidR="00CA0AFE" w:rsidRPr="00CA0AFE" w:rsidRDefault="00CA0AFE" w:rsidP="00CA0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CA0AF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t> </w:t>
            </w:r>
          </w:p>
          <w:p w:rsidR="00CA0AFE" w:rsidRPr="00CA0AFE" w:rsidRDefault="00CA0AFE" w:rsidP="00CA0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CA0AFE">
              <w:rPr>
                <w:rFonts w:ascii="Tahoma" w:eastAsia="Times New Roman" w:hAnsi="Tahoma" w:cs="Tahoma"/>
                <w:b/>
                <w:bCs/>
                <w:color w:val="333333"/>
                <w:sz w:val="19"/>
                <w:szCs w:val="19"/>
                <w:lang w:eastAsia="es-ES"/>
              </w:rPr>
              <w:t>REALIZACIÓN DE CURSOS CORRESPONDIENTES:</w:t>
            </w:r>
            <w:r w:rsidRPr="00CA0AFE">
              <w:rPr>
                <w:rFonts w:ascii="Tahoma" w:eastAsia="Times New Roman" w:hAnsi="Tahoma" w:cs="Tahoma"/>
                <w:color w:val="333333"/>
                <w:sz w:val="19"/>
                <w:szCs w:val="19"/>
                <w:lang w:eastAsia="es-ES"/>
              </w:rPr>
              <w:t> Los cursos para comisario irán realizándose en el más corto plazo posible, según las posibilidades de programación lo permitan.</w:t>
            </w:r>
          </w:p>
          <w:p w:rsidR="00CA0AFE" w:rsidRPr="00CA0AFE" w:rsidRDefault="00CA0AFE" w:rsidP="00CA0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CA0AF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t> </w:t>
            </w:r>
          </w:p>
          <w:p w:rsidR="00CA0AFE" w:rsidRPr="00CA0AFE" w:rsidRDefault="00CA0AFE" w:rsidP="00CA0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CA0AFE">
              <w:rPr>
                <w:rFonts w:ascii="Tahoma" w:eastAsia="Times New Roman" w:hAnsi="Tahoma" w:cs="Tahoma"/>
                <w:b/>
                <w:bCs/>
                <w:color w:val="333333"/>
                <w:sz w:val="19"/>
                <w:szCs w:val="19"/>
                <w:lang w:eastAsia="es-ES"/>
              </w:rPr>
              <w:t>ESCALAFONAMIENTO: </w:t>
            </w:r>
            <w:r w:rsidRPr="00CA0AFE">
              <w:rPr>
                <w:rFonts w:ascii="Tahoma" w:eastAsia="Times New Roman" w:hAnsi="Tahoma" w:cs="Tahoma"/>
                <w:color w:val="333333"/>
                <w:sz w:val="19"/>
                <w:szCs w:val="19"/>
                <w:lang w:eastAsia="es-ES"/>
              </w:rPr>
              <w:t xml:space="preserve">Todos los </w:t>
            </w:r>
            <w:proofErr w:type="spellStart"/>
            <w:r w:rsidRPr="00CA0AFE">
              <w:rPr>
                <w:rFonts w:ascii="Tahoma" w:eastAsia="Times New Roman" w:hAnsi="Tahoma" w:cs="Tahoma"/>
                <w:color w:val="333333"/>
                <w:sz w:val="19"/>
                <w:szCs w:val="19"/>
                <w:lang w:eastAsia="es-ES"/>
              </w:rPr>
              <w:t>escalafonamientos</w:t>
            </w:r>
            <w:proofErr w:type="spellEnd"/>
            <w:r w:rsidRPr="00CA0AFE">
              <w:rPr>
                <w:rFonts w:ascii="Tahoma" w:eastAsia="Times New Roman" w:hAnsi="Tahoma" w:cs="Tahoma"/>
                <w:color w:val="333333"/>
                <w:sz w:val="19"/>
                <w:szCs w:val="19"/>
                <w:lang w:eastAsia="es-ES"/>
              </w:rPr>
              <w:t xml:space="preserve"> se realizarán al finalizar la vigencia de cada una de las opciones, entre quienes resulten nombrados, sin importar si lograron su nombramiento en la primera instancia o en el repechaje.</w:t>
            </w:r>
          </w:p>
          <w:p w:rsidR="00CA0AFE" w:rsidRPr="00CA0AFE" w:rsidRDefault="00CA0AFE" w:rsidP="00CA0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CA0AFE">
              <w:rPr>
                <w:rFonts w:ascii="Tahoma" w:eastAsia="Times New Roman" w:hAnsi="Tahoma" w:cs="Tahoma"/>
                <w:color w:val="333333"/>
                <w:sz w:val="19"/>
                <w:szCs w:val="19"/>
                <w:lang w:eastAsia="es-ES"/>
              </w:rPr>
              <w:t> </w:t>
            </w:r>
          </w:p>
          <w:p w:rsidR="00CA0AFE" w:rsidRPr="00CA0AFE" w:rsidRDefault="00CA0AFE" w:rsidP="00CA0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CA0AFE">
              <w:rPr>
                <w:rFonts w:ascii="Tahoma" w:eastAsia="Times New Roman" w:hAnsi="Tahoma" w:cs="Tahoma"/>
                <w:color w:val="333333"/>
                <w:sz w:val="19"/>
                <w:szCs w:val="19"/>
                <w:lang w:eastAsia="es-ES"/>
              </w:rPr>
              <w:lastRenderedPageBreak/>
              <w:t>Hace más de un año, y con la dotación devastada en TODAS las funciones, nos propusimos un plan ordenado estratégicamente para recuperar lo que nos corresponde, paso a paso. En ese camino y sin perder jamás esa idea como norte, pueden surgir desprolijidades producto de errores de procedimiento, pujas con la empresa, o debido al propio tamaño de la tarea: pases y movimientos que llevan ya un año de duración ininterrumpido. </w:t>
            </w:r>
          </w:p>
          <w:p w:rsidR="00CA0AFE" w:rsidRPr="00CA0AFE" w:rsidRDefault="00CA0AFE" w:rsidP="00CA0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CA0AFE">
              <w:rPr>
                <w:rFonts w:ascii="Tahoma" w:eastAsia="Times New Roman" w:hAnsi="Tahoma" w:cs="Tahoma"/>
                <w:color w:val="333333"/>
                <w:sz w:val="19"/>
                <w:szCs w:val="19"/>
                <w:lang w:eastAsia="es-ES"/>
              </w:rPr>
              <w:t>Esta conducción está encima de cada uno de estos temas, SIEMPRE PRIORIZANDO AL BIEN COLECTIVO por sobre los muy variados y polarizados reclamos individuales o de grupos de interés. Corregir la situación descripta en una empresa en plena expansión, cambios constantes y movimientos no es tarea sencilla. </w:t>
            </w:r>
          </w:p>
          <w:p w:rsidR="00CA0AFE" w:rsidRPr="00CA0AFE" w:rsidRDefault="00CA0AFE" w:rsidP="00CA0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CA0AFE">
              <w:rPr>
                <w:rFonts w:ascii="Tahoma" w:eastAsia="Times New Roman" w:hAnsi="Tahoma" w:cs="Tahoma"/>
                <w:color w:val="333333"/>
                <w:sz w:val="19"/>
                <w:szCs w:val="19"/>
                <w:lang w:eastAsia="es-ES"/>
              </w:rPr>
              <w:t>Nos hacemos cargo ampliamente de las decisiones que nos toca tomar como representantes de nuestros compañeros. La transparencia en los incontables movimientos concretados en este período es absoluta y total, como jamás lo había sido. Sabemos lo mal que se hicieron las cosas en esta materia en el pasado, y los prejuicios que eso aún despierta. Nos comprometimos a cambiar esa realidad, LO ESTAMOS HACIENDO. </w:t>
            </w:r>
          </w:p>
          <w:p w:rsidR="00CA0AFE" w:rsidRPr="00CA0AFE" w:rsidRDefault="00CA0AFE" w:rsidP="00CA0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CA0AFE">
              <w:rPr>
                <w:rFonts w:ascii="Tahoma" w:eastAsia="Times New Roman" w:hAnsi="Tahoma" w:cs="Tahoma"/>
                <w:color w:val="333333"/>
                <w:sz w:val="19"/>
                <w:szCs w:val="19"/>
                <w:lang w:eastAsia="es-ES"/>
              </w:rPr>
              <w:t>Esperamos que nuestra responsabilidad como trabajadores a la hora de encarar un ascenso laboral acompañe los principios que sostiene esta conducción.</w:t>
            </w:r>
          </w:p>
          <w:p w:rsidR="00CA0AFE" w:rsidRPr="00CA0AFE" w:rsidRDefault="00CA0AFE" w:rsidP="00CA0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CA0AF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t> </w:t>
            </w:r>
          </w:p>
          <w:p w:rsidR="00CA0AFE" w:rsidRPr="00CA0AFE" w:rsidRDefault="00CA0AFE" w:rsidP="00CA0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CA0AFE">
              <w:rPr>
                <w:rFonts w:ascii="Tahoma" w:eastAsia="Times New Roman" w:hAnsi="Tahoma" w:cs="Tahoma"/>
                <w:color w:val="333333"/>
                <w:sz w:val="19"/>
                <w:szCs w:val="19"/>
                <w:lang w:eastAsia="es-ES"/>
              </w:rPr>
              <w:t>Sabemos que contamos con la confianza de nuestros compañeros.</w:t>
            </w:r>
          </w:p>
          <w:p w:rsidR="00CA0AFE" w:rsidRPr="00CA0AFE" w:rsidRDefault="00CA0AFE" w:rsidP="00CA0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CA0AFE">
              <w:rPr>
                <w:rFonts w:ascii="Tahoma" w:eastAsia="Times New Roman" w:hAnsi="Tahoma" w:cs="Tahoma"/>
                <w:color w:val="333333"/>
                <w:sz w:val="19"/>
                <w:szCs w:val="19"/>
                <w:lang w:eastAsia="es-ES"/>
              </w:rPr>
              <w:t>Saludos,</w:t>
            </w:r>
          </w:p>
          <w:p w:rsidR="00CA0AFE" w:rsidRPr="00CA0AFE" w:rsidRDefault="00CA0AFE" w:rsidP="00CA0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CA0AF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s-ES"/>
              </w:rPr>
              <w:t> </w:t>
            </w:r>
          </w:p>
        </w:tc>
      </w:tr>
      <w:tr w:rsidR="00CA0AFE" w:rsidRPr="00CA0AFE" w:rsidTr="00CA0AFE">
        <w:trPr>
          <w:tblCellSpacing w:w="0" w:type="dxa"/>
        </w:trPr>
        <w:tc>
          <w:tcPr>
            <w:tcW w:w="0" w:type="auto"/>
            <w:tcBorders>
              <w:top w:val="single" w:sz="6" w:space="0" w:color="D6D6D6"/>
            </w:tcBorders>
            <w:shd w:val="clear" w:color="auto" w:fill="F6F6F6"/>
            <w:tcMar>
              <w:top w:w="225" w:type="dxa"/>
              <w:left w:w="300" w:type="dxa"/>
              <w:bottom w:w="225" w:type="dxa"/>
              <w:right w:w="0" w:type="dxa"/>
            </w:tcMar>
            <w:vAlign w:val="center"/>
            <w:hideMark/>
          </w:tcPr>
          <w:p w:rsidR="00CA0AFE" w:rsidRPr="00CA0AFE" w:rsidRDefault="00CA0AFE" w:rsidP="00CA0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CA0AFE">
              <w:rPr>
                <w:rFonts w:ascii="Tahoma" w:eastAsia="Times New Roman" w:hAnsi="Tahoma" w:cs="Tahoma"/>
                <w:b/>
                <w:bCs/>
                <w:i/>
                <w:iCs/>
                <w:color w:val="333333"/>
                <w:sz w:val="19"/>
                <w:szCs w:val="19"/>
                <w:lang w:eastAsia="es-ES"/>
              </w:rPr>
              <w:lastRenderedPageBreak/>
              <w:t>COMISIÓN DIRECTIVA DE AERONAVEGANTES</w:t>
            </w:r>
          </w:p>
          <w:p w:rsidR="00CA0AFE" w:rsidRPr="00CA0AFE" w:rsidRDefault="00CA0AFE" w:rsidP="00CA0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CA0AFE">
              <w:rPr>
                <w:rFonts w:ascii="Tahoma" w:eastAsia="Times New Roman" w:hAnsi="Tahoma" w:cs="Tahoma"/>
                <w:b/>
                <w:bCs/>
                <w:i/>
                <w:iCs/>
                <w:color w:val="333333"/>
                <w:sz w:val="19"/>
                <w:szCs w:val="19"/>
                <w:lang w:eastAsia="es-ES"/>
              </w:rPr>
              <w:t>Y CUERPO DE DELEGADOS</w:t>
            </w:r>
          </w:p>
        </w:tc>
      </w:tr>
    </w:tbl>
    <w:p w:rsidR="00163C33" w:rsidRPr="00CA0AFE" w:rsidRDefault="00163C33" w:rsidP="00CA0AFE">
      <w:bookmarkStart w:id="0" w:name="_GoBack"/>
      <w:bookmarkEnd w:id="0"/>
    </w:p>
    <w:sectPr w:rsidR="00163C33" w:rsidRPr="00CA0A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031"/>
    <w:rsid w:val="00163C33"/>
    <w:rsid w:val="00394E4D"/>
    <w:rsid w:val="006D1031"/>
    <w:rsid w:val="00CA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394E4D"/>
  </w:style>
  <w:style w:type="character" w:customStyle="1" w:styleId="il">
    <w:name w:val="il"/>
    <w:basedOn w:val="Fuentedeprrafopredeter"/>
    <w:rsid w:val="00394E4D"/>
  </w:style>
  <w:style w:type="character" w:styleId="Hipervnculo">
    <w:name w:val="Hyperlink"/>
    <w:basedOn w:val="Fuentedeprrafopredeter"/>
    <w:uiPriority w:val="99"/>
    <w:semiHidden/>
    <w:unhideWhenUsed/>
    <w:rsid w:val="00394E4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A0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394E4D"/>
  </w:style>
  <w:style w:type="character" w:customStyle="1" w:styleId="il">
    <w:name w:val="il"/>
    <w:basedOn w:val="Fuentedeprrafopredeter"/>
    <w:rsid w:val="00394E4D"/>
  </w:style>
  <w:style w:type="character" w:styleId="Hipervnculo">
    <w:name w:val="Hyperlink"/>
    <w:basedOn w:val="Fuentedeprrafopredeter"/>
    <w:uiPriority w:val="99"/>
    <w:semiHidden/>
    <w:unhideWhenUsed/>
    <w:rsid w:val="00394E4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A0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5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6006">
          <w:marLeft w:val="0"/>
          <w:marRight w:val="0"/>
          <w:marTop w:val="0"/>
          <w:marBottom w:val="0"/>
          <w:divBdr>
            <w:top w:val="single" w:sz="6" w:space="2" w:color="D6D6D6"/>
            <w:left w:val="none" w:sz="0" w:space="0" w:color="auto"/>
            <w:bottom w:val="single" w:sz="6" w:space="2" w:color="D6D6D6"/>
            <w:right w:val="none" w:sz="0" w:space="0" w:color="auto"/>
          </w:divBdr>
          <w:divsChild>
            <w:div w:id="6927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0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4569">
          <w:marLeft w:val="0"/>
          <w:marRight w:val="0"/>
          <w:marTop w:val="0"/>
          <w:marBottom w:val="0"/>
          <w:divBdr>
            <w:top w:val="single" w:sz="6" w:space="2" w:color="D6D6D6"/>
            <w:left w:val="none" w:sz="0" w:space="0" w:color="auto"/>
            <w:bottom w:val="single" w:sz="6" w:space="2" w:color="D6D6D6"/>
            <w:right w:val="none" w:sz="0" w:space="0" w:color="auto"/>
          </w:divBdr>
          <w:divsChild>
            <w:div w:id="19034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22887">
          <w:marLeft w:val="0"/>
          <w:marRight w:val="0"/>
          <w:marTop w:val="0"/>
          <w:marBottom w:val="0"/>
          <w:divBdr>
            <w:top w:val="single" w:sz="6" w:space="2" w:color="D6D6D6"/>
            <w:left w:val="none" w:sz="0" w:space="0" w:color="auto"/>
            <w:bottom w:val="single" w:sz="6" w:space="2" w:color="D6D6D6"/>
            <w:right w:val="none" w:sz="0" w:space="0" w:color="auto"/>
          </w:divBdr>
          <w:divsChild>
            <w:div w:id="10554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Comunicacion</dc:creator>
  <cp:lastModifiedBy>Comunicacion</cp:lastModifiedBy>
  <cp:revision>2</cp:revision>
  <dcterms:created xsi:type="dcterms:W3CDTF">2015-04-09T18:00:00Z</dcterms:created>
  <dcterms:modified xsi:type="dcterms:W3CDTF">2015-04-09T18:00:00Z</dcterms:modified>
</cp:coreProperties>
</file>